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782C0" w14:textId="58FB484B" w:rsidR="002C46D9" w:rsidRPr="001B7659" w:rsidRDefault="002C46D9" w:rsidP="002C46D9">
      <w:pPr>
        <w:pStyle w:val="Rubrik1"/>
      </w:pPr>
      <w:r w:rsidRPr="001B7659">
        <w:t xml:space="preserve">Lektion </w:t>
      </w:r>
      <w:r>
        <w:t xml:space="preserve">2 </w:t>
      </w:r>
      <w:r w:rsidR="009449D6">
        <w:t>(</w:t>
      </w:r>
      <w:r>
        <w:t>60min</w:t>
      </w:r>
      <w:r w:rsidR="009449D6">
        <w:t>)</w:t>
      </w:r>
    </w:p>
    <w:p w14:paraId="0A37501D" w14:textId="77777777" w:rsidR="002C46D9" w:rsidRPr="006B7842" w:rsidRDefault="002C46D9" w:rsidP="002C46D9"/>
    <w:p w14:paraId="7068A446" w14:textId="77777777" w:rsidR="002C46D9" w:rsidRPr="001B7659" w:rsidRDefault="002C46D9" w:rsidP="002C46D9">
      <w:pPr>
        <w:pStyle w:val="Rubrik2"/>
      </w:pPr>
      <w:r>
        <w:t>Syfte och lärandeobjekt</w:t>
      </w:r>
    </w:p>
    <w:p w14:paraId="6B0570F5" w14:textId="7F81EF73" w:rsidR="00BA779C" w:rsidRDefault="579025EC" w:rsidP="579025EC">
      <w:pPr>
        <w:rPr>
          <w:b/>
          <w:bCs/>
        </w:rPr>
      </w:pPr>
      <w:r>
        <w:t xml:space="preserve">Genom att använda stödlinjer och omforma figurer ska eleverna utveckla förmågan att se geometriska egenskaper i och mellan tvådimensionella figurer genom att operera på dem. </w:t>
      </w:r>
      <w:r w:rsidR="00F10C8A">
        <w:t>De ska även få möjlighet att träna på att kommunicera sina resonemang.</w:t>
      </w:r>
    </w:p>
    <w:p w14:paraId="5DAB6C7B" w14:textId="77777777" w:rsidR="002C46D9" w:rsidRDefault="002C46D9" w:rsidP="002C46D9">
      <w:pPr>
        <w:rPr>
          <w:b/>
        </w:rPr>
      </w:pPr>
    </w:p>
    <w:p w14:paraId="101A0893" w14:textId="77777777" w:rsidR="002C46D9" w:rsidRPr="00E43B30" w:rsidRDefault="002C46D9" w:rsidP="00A446CE">
      <w:pPr>
        <w:pStyle w:val="Rubrik2"/>
      </w:pPr>
      <w:r>
        <w:t>Material</w:t>
      </w:r>
    </w:p>
    <w:p w14:paraId="60BFC618" w14:textId="77777777" w:rsidR="002C46D9" w:rsidRDefault="002C46D9" w:rsidP="002C46D9">
      <w:pPr>
        <w:pStyle w:val="Liststycke"/>
        <w:numPr>
          <w:ilvl w:val="0"/>
          <w:numId w:val="3"/>
        </w:numPr>
      </w:pPr>
      <w:r w:rsidRPr="00E43B30">
        <w:t xml:space="preserve">Länk till </w:t>
      </w:r>
      <w:proofErr w:type="spellStart"/>
      <w:r w:rsidRPr="00E43B30">
        <w:t>Geo</w:t>
      </w:r>
      <w:r w:rsidR="003B5152">
        <w:t>G</w:t>
      </w:r>
      <w:r w:rsidRPr="00E43B30">
        <w:t>ebrabok</w:t>
      </w:r>
      <w:proofErr w:type="spellEnd"/>
      <w:r w:rsidRPr="00E43B30">
        <w:t xml:space="preserve"> att distribuera till elever</w:t>
      </w:r>
      <w:r>
        <w:t xml:space="preserve"> </w:t>
      </w:r>
      <w:hyperlink r:id="rId7" w:history="1">
        <w:r w:rsidR="00A446CE" w:rsidRPr="0021753D">
          <w:rPr>
            <w:rStyle w:val="Hyperlnk"/>
          </w:rPr>
          <w:t>https://www.geogebra.org/m/dxtq7abw</w:t>
        </w:r>
      </w:hyperlink>
      <w:r w:rsidR="00A446CE">
        <w:t xml:space="preserve"> </w:t>
      </w:r>
    </w:p>
    <w:p w14:paraId="196FA721" w14:textId="698B6F91" w:rsidR="008B132C" w:rsidRDefault="008B132C" w:rsidP="002C46D9">
      <w:pPr>
        <w:pStyle w:val="Liststycke"/>
        <w:numPr>
          <w:ilvl w:val="0"/>
          <w:numId w:val="3"/>
        </w:numPr>
      </w:pPr>
      <w:proofErr w:type="spellStart"/>
      <w:r>
        <w:t>Padlet</w:t>
      </w:r>
      <w:proofErr w:type="spellEnd"/>
      <w:r>
        <w:t xml:space="preserve"> </w:t>
      </w:r>
      <w:r w:rsidR="00A34DE3">
        <w:t xml:space="preserve">(med formatet Hylla) </w:t>
      </w:r>
      <w:r>
        <w:t>med tre kolumner, se figur 1</w:t>
      </w:r>
    </w:p>
    <w:p w14:paraId="6606E214" w14:textId="34840B90" w:rsidR="00CF77C7" w:rsidRDefault="00CF77C7" w:rsidP="002C46D9">
      <w:pPr>
        <w:pStyle w:val="Liststycke"/>
        <w:numPr>
          <w:ilvl w:val="0"/>
          <w:numId w:val="3"/>
        </w:numPr>
      </w:pPr>
      <w:r>
        <w:t xml:space="preserve">Länk till </w:t>
      </w:r>
      <w:proofErr w:type="spellStart"/>
      <w:r>
        <w:t>Padlet</w:t>
      </w:r>
      <w:proofErr w:type="spellEnd"/>
      <w:r>
        <w:t xml:space="preserve"> att distribuera till elever</w:t>
      </w:r>
      <w:r w:rsidR="00284739">
        <w:rPr>
          <w:rStyle w:val="Fotnotsreferens"/>
        </w:rPr>
        <w:footnoteReference w:id="1"/>
      </w:r>
    </w:p>
    <w:p w14:paraId="48BC63B6" w14:textId="77777777" w:rsidR="00A34DE3" w:rsidRDefault="00A34DE3" w:rsidP="00A34DE3"/>
    <w:p w14:paraId="553D5853" w14:textId="77777777" w:rsidR="00A34DE3" w:rsidRDefault="00A34DE3" w:rsidP="00A34DE3">
      <w:pPr>
        <w:keepNext/>
      </w:pPr>
      <w:r>
        <w:rPr>
          <w:b/>
          <w:noProof/>
        </w:rPr>
        <w:drawing>
          <wp:inline distT="0" distB="0" distL="0" distR="0" wp14:anchorId="46540169" wp14:editId="7AA55A3F">
            <wp:extent cx="5738922" cy="1819073"/>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rotWithShape="1">
                    <a:blip r:embed="rId8" cstate="print">
                      <a:extLst>
                        <a:ext uri="{28A0092B-C50C-407E-A947-70E740481C1C}">
                          <a14:useLocalDpi xmlns:a14="http://schemas.microsoft.com/office/drawing/2010/main" val="0"/>
                        </a:ext>
                      </a:extLst>
                    </a:blip>
                    <a:srcRect b="50119"/>
                    <a:stretch/>
                  </pic:blipFill>
                  <pic:spPr bwMode="auto">
                    <a:xfrm>
                      <a:off x="0" y="0"/>
                      <a:ext cx="5739319" cy="1819199"/>
                    </a:xfrm>
                    <a:prstGeom prst="rect">
                      <a:avLst/>
                    </a:prstGeom>
                    <a:ln>
                      <a:noFill/>
                    </a:ln>
                    <a:extLst>
                      <a:ext uri="{53640926-AAD7-44D8-BBD7-CCE9431645EC}">
                        <a14:shadowObscured xmlns:a14="http://schemas.microsoft.com/office/drawing/2010/main"/>
                      </a:ext>
                    </a:extLst>
                  </pic:spPr>
                </pic:pic>
              </a:graphicData>
            </a:graphic>
          </wp:inline>
        </w:drawing>
      </w:r>
    </w:p>
    <w:p w14:paraId="02EB378F" w14:textId="626F2B57" w:rsidR="0023338B" w:rsidRDefault="00A34DE3" w:rsidP="00A34DE3">
      <w:pPr>
        <w:pStyle w:val="Beskrivning"/>
        <w:rPr>
          <w:b/>
        </w:rPr>
      </w:pPr>
      <w:r>
        <w:t xml:space="preserve">Figur </w:t>
      </w:r>
      <w:fldSimple w:instr=" SEQ Figur \* ARABIC ">
        <w:r>
          <w:rPr>
            <w:noProof/>
          </w:rPr>
          <w:t>1</w:t>
        </w:r>
      </w:fldSimple>
      <w:r>
        <w:t xml:space="preserve"> </w:t>
      </w:r>
      <w:proofErr w:type="spellStart"/>
      <w:r>
        <w:t>Padlet</w:t>
      </w:r>
      <w:proofErr w:type="spellEnd"/>
      <w:r>
        <w:t xml:space="preserve"> med formatet Hylla. Här kan du skapa kolumner för respektive triangel-uppgift.</w:t>
      </w:r>
    </w:p>
    <w:p w14:paraId="4647CD95" w14:textId="77777777" w:rsidR="00A34DE3" w:rsidRDefault="00A34DE3" w:rsidP="006A7C27">
      <w:pPr>
        <w:pStyle w:val="Rubrik2"/>
      </w:pPr>
    </w:p>
    <w:p w14:paraId="22BF506A" w14:textId="778F0F38" w:rsidR="00374F84" w:rsidRDefault="00374F84" w:rsidP="006A7C27">
      <w:pPr>
        <w:pStyle w:val="Rubrik2"/>
      </w:pPr>
      <w:r>
        <w:t>Lektionsbeskrivning</w:t>
      </w:r>
    </w:p>
    <w:p w14:paraId="72DDD75F" w14:textId="77777777" w:rsidR="00374F84" w:rsidRPr="006B7842" w:rsidRDefault="00374F84" w:rsidP="00374F84">
      <w:r>
        <w:t xml:space="preserve">Lektionen är det som Stein et al. (2008) beskriver som </w:t>
      </w:r>
      <w:proofErr w:type="spellStart"/>
      <w:r>
        <w:t>inquiry-based</w:t>
      </w:r>
      <w:proofErr w:type="spellEnd"/>
      <w:r>
        <w:t xml:space="preserve"> </w:t>
      </w:r>
      <w:proofErr w:type="spellStart"/>
      <w:r>
        <w:t>mathematics</w:t>
      </w:r>
      <w:proofErr w:type="spellEnd"/>
      <w:r>
        <w:t xml:space="preserve"> </w:t>
      </w:r>
      <w:proofErr w:type="spellStart"/>
      <w:r>
        <w:t>teaching</w:t>
      </w:r>
      <w:proofErr w:type="spellEnd"/>
      <w:r>
        <w:t xml:space="preserve"> vilken består av faserna; introducera, undersöka, diskutera, summera. I introduktionsfasen beskriver läraren problemet/arbetsuppgifterna utan att avslöja några strategier/metoder och försäkrar sig om att eleverna förstått arbetsuppgiften. I undersökningsfasen arbetar eleverna i små grupper och läraren går runt och lyssnar efter värdefull information om hur eleverna tolkar uppgiften och resonerar. I diskussionsfasen och summeringsfasen lyfter du som lärare upp elevers lösningar och resonemang som du finner värdefulla att diskutera med hela klassen. Det kan vara svårigheter som flera stött på, en lösning som är intressant att utforska vidare eller att jämföra olika lösningar. Uppmuntra eleverna att komma fram till tavlan och visa hur de tänker i figuren</w:t>
      </w:r>
    </w:p>
    <w:p w14:paraId="022C47EE" w14:textId="77777777" w:rsidR="004138C6" w:rsidRPr="007A48AC" w:rsidRDefault="004138C6" w:rsidP="004138C6">
      <w:pPr>
        <w:spacing w:before="100" w:beforeAutospacing="1" w:after="100" w:afterAutospacing="1"/>
        <w:rPr>
          <w:rFonts w:ascii="Calibri" w:hAnsi="Calibri" w:cs="Calibri"/>
        </w:rPr>
      </w:pPr>
      <w:r w:rsidRPr="007A48AC">
        <w:rPr>
          <w:rFonts w:ascii="Calibri" w:hAnsi="Calibri" w:cs="Calibri"/>
        </w:rPr>
        <w:t>Arbet</w:t>
      </w:r>
      <w:r>
        <w:rPr>
          <w:rFonts w:ascii="Calibri" w:hAnsi="Calibri" w:cs="Calibri"/>
        </w:rPr>
        <w:t>s</w:t>
      </w:r>
      <w:r w:rsidRPr="007A48AC">
        <w:rPr>
          <w:rFonts w:ascii="Calibri" w:hAnsi="Calibri" w:cs="Calibri"/>
        </w:rPr>
        <w:t>gång</w:t>
      </w:r>
    </w:p>
    <w:p w14:paraId="77D02111" w14:textId="77777777" w:rsidR="004138C6" w:rsidRPr="00055FA3" w:rsidRDefault="004138C6" w:rsidP="004138C6">
      <w:pPr>
        <w:pStyle w:val="Liststycke"/>
        <w:numPr>
          <w:ilvl w:val="0"/>
          <w:numId w:val="1"/>
        </w:numPr>
        <w:spacing w:before="100" w:beforeAutospacing="1" w:after="100" w:afterAutospacing="1"/>
        <w:rPr>
          <w:rFonts w:ascii="Calibri" w:hAnsi="Calibri" w:cs="Calibri"/>
        </w:rPr>
      </w:pPr>
      <w:r w:rsidRPr="579025EC">
        <w:rPr>
          <w:rFonts w:ascii="Calibri" w:hAnsi="Calibri" w:cs="Calibri"/>
        </w:rPr>
        <w:t xml:space="preserve">Arbeta med triangel 1 enskilt i </w:t>
      </w:r>
      <w:r>
        <w:rPr>
          <w:rFonts w:ascii="Calibri" w:hAnsi="Calibri" w:cs="Calibri"/>
        </w:rPr>
        <w:t>1</w:t>
      </w:r>
      <w:r w:rsidRPr="579025EC">
        <w:rPr>
          <w:rFonts w:ascii="Calibri" w:hAnsi="Calibri" w:cs="Calibri"/>
        </w:rPr>
        <w:t xml:space="preserve"> min</w:t>
      </w:r>
    </w:p>
    <w:p w14:paraId="06917E72" w14:textId="77777777" w:rsidR="004138C6" w:rsidRDefault="004138C6" w:rsidP="004138C6">
      <w:pPr>
        <w:pStyle w:val="Liststycke"/>
        <w:numPr>
          <w:ilvl w:val="0"/>
          <w:numId w:val="1"/>
        </w:numPr>
        <w:spacing w:before="100" w:beforeAutospacing="1" w:after="100" w:afterAutospacing="1"/>
        <w:rPr>
          <w:rFonts w:ascii="Calibri" w:hAnsi="Calibri" w:cs="Calibri"/>
        </w:rPr>
      </w:pPr>
      <w:r w:rsidRPr="579025EC">
        <w:rPr>
          <w:rFonts w:ascii="Calibri" w:hAnsi="Calibri" w:cs="Calibri"/>
        </w:rPr>
        <w:t xml:space="preserve">Diskutera och arbeta sedan med uppgiften i par och skriv in i </w:t>
      </w:r>
      <w:proofErr w:type="spellStart"/>
      <w:r w:rsidRPr="579025EC">
        <w:rPr>
          <w:rFonts w:ascii="Calibri" w:hAnsi="Calibri" w:cs="Calibri"/>
        </w:rPr>
        <w:t>Padlet</w:t>
      </w:r>
      <w:proofErr w:type="spellEnd"/>
      <w:r w:rsidRPr="579025EC">
        <w:rPr>
          <w:rFonts w:ascii="Calibri" w:hAnsi="Calibri" w:cs="Calibri"/>
        </w:rPr>
        <w:t xml:space="preserve"> vad ni kommer fram till</w:t>
      </w:r>
    </w:p>
    <w:p w14:paraId="16AC89CC" w14:textId="140497DB" w:rsidR="004138C6" w:rsidRDefault="004138C6" w:rsidP="004138C6">
      <w:pPr>
        <w:pStyle w:val="Liststycke"/>
        <w:numPr>
          <w:ilvl w:val="1"/>
          <w:numId w:val="1"/>
        </w:numPr>
        <w:spacing w:before="100" w:beforeAutospacing="1" w:after="100" w:afterAutospacing="1"/>
        <w:rPr>
          <w:rFonts w:ascii="Calibri" w:hAnsi="Calibri" w:cs="Calibri"/>
        </w:rPr>
      </w:pPr>
      <w:r>
        <w:rPr>
          <w:rFonts w:ascii="Calibri" w:hAnsi="Calibri" w:cs="Calibri"/>
        </w:rPr>
        <w:lastRenderedPageBreak/>
        <w:t xml:space="preserve">Om eleverna har svårt att komma fram till punkten då de ska skriva i </w:t>
      </w:r>
      <w:proofErr w:type="spellStart"/>
      <w:r>
        <w:rPr>
          <w:rFonts w:ascii="Calibri" w:hAnsi="Calibri" w:cs="Calibri"/>
        </w:rPr>
        <w:t>Padlet</w:t>
      </w:r>
      <w:proofErr w:type="spellEnd"/>
      <w:r>
        <w:rPr>
          <w:rFonts w:ascii="Calibri" w:hAnsi="Calibri" w:cs="Calibri"/>
        </w:rPr>
        <w:t>, stötta genom att påminna eleverna om olika sätt att skriva arean för en triangel.</w:t>
      </w:r>
    </w:p>
    <w:p w14:paraId="0F4256E5" w14:textId="47187FDC" w:rsidR="009449D6" w:rsidRDefault="009449D6" w:rsidP="004138C6">
      <w:pPr>
        <w:pStyle w:val="Liststycke"/>
        <w:numPr>
          <w:ilvl w:val="1"/>
          <w:numId w:val="1"/>
        </w:numPr>
        <w:spacing w:before="100" w:beforeAutospacing="1" w:after="100" w:afterAutospacing="1"/>
        <w:rPr>
          <w:rFonts w:ascii="Calibri" w:hAnsi="Calibri" w:cs="Calibri"/>
        </w:rPr>
      </w:pPr>
      <w:r>
        <w:rPr>
          <w:rFonts w:ascii="Calibri" w:hAnsi="Calibri" w:cs="Calibri"/>
        </w:rPr>
        <w:t>Alternativt kan du be eleven beskriva</w:t>
      </w:r>
    </w:p>
    <w:p w14:paraId="13D9E33F" w14:textId="52B9DA82" w:rsidR="009449D6" w:rsidRPr="009449D6" w:rsidRDefault="009449D6" w:rsidP="009449D6">
      <w:pPr>
        <w:pStyle w:val="Liststycke"/>
        <w:numPr>
          <w:ilvl w:val="2"/>
          <w:numId w:val="1"/>
        </w:numPr>
        <w:spacing w:before="100" w:beforeAutospacing="1" w:after="100" w:afterAutospacing="1"/>
        <w:rPr>
          <w:rFonts w:ascii="Calibri" w:hAnsi="Calibri" w:cs="Calibri"/>
        </w:rPr>
      </w:pPr>
      <w:r>
        <w:rPr>
          <w:rFonts w:ascii="Calibri" w:hAnsi="Calibri" w:cs="Calibri"/>
        </w:rPr>
        <w:t>…</w:t>
      </w:r>
      <w:r w:rsidRPr="009449D6">
        <w:rPr>
          <w:rFonts w:ascii="Calibri" w:hAnsi="Calibri" w:cs="Calibri"/>
        </w:rPr>
        <w:t xml:space="preserve"> vad som händer/vad som sker i applikationen. Vad förändras?</w:t>
      </w:r>
    </w:p>
    <w:p w14:paraId="28EF9AB1" w14:textId="640AB4A4" w:rsidR="009449D6" w:rsidRPr="009449D6" w:rsidRDefault="009449D6" w:rsidP="009449D6">
      <w:pPr>
        <w:pStyle w:val="Liststycke"/>
        <w:numPr>
          <w:ilvl w:val="2"/>
          <w:numId w:val="1"/>
        </w:numPr>
        <w:spacing w:before="100" w:beforeAutospacing="1" w:after="100" w:afterAutospacing="1"/>
        <w:rPr>
          <w:rFonts w:ascii="Calibri" w:hAnsi="Calibri" w:cs="Calibri"/>
        </w:rPr>
      </w:pPr>
      <w:r>
        <w:rPr>
          <w:rFonts w:ascii="Calibri" w:hAnsi="Calibri" w:cs="Calibri"/>
        </w:rPr>
        <w:t>…h</w:t>
      </w:r>
      <w:r w:rsidRPr="009449D6">
        <w:rPr>
          <w:rFonts w:ascii="Calibri" w:hAnsi="Calibri" w:cs="Calibri"/>
        </w:rPr>
        <w:t>ur applikationen hjälp</w:t>
      </w:r>
      <w:r>
        <w:rPr>
          <w:rFonts w:ascii="Calibri" w:hAnsi="Calibri" w:cs="Calibri"/>
        </w:rPr>
        <w:t>er</w:t>
      </w:r>
      <w:r w:rsidRPr="009449D6">
        <w:rPr>
          <w:rFonts w:ascii="Calibri" w:hAnsi="Calibri" w:cs="Calibri"/>
        </w:rPr>
        <w:t xml:space="preserve"> att förstå formeln för triangelns area.</w:t>
      </w:r>
    </w:p>
    <w:p w14:paraId="71027486" w14:textId="414C9256" w:rsidR="009449D6" w:rsidRDefault="009449D6" w:rsidP="009449D6">
      <w:pPr>
        <w:pStyle w:val="Liststycke"/>
        <w:numPr>
          <w:ilvl w:val="2"/>
          <w:numId w:val="1"/>
        </w:numPr>
        <w:spacing w:before="100" w:beforeAutospacing="1" w:after="100" w:afterAutospacing="1"/>
        <w:rPr>
          <w:rFonts w:ascii="Calibri" w:hAnsi="Calibri" w:cs="Calibri"/>
        </w:rPr>
      </w:pPr>
      <w:r w:rsidRPr="009449D6">
        <w:rPr>
          <w:rFonts w:ascii="Calibri" w:hAnsi="Calibri" w:cs="Calibri"/>
        </w:rPr>
        <w:t>Skriv e</w:t>
      </w:r>
      <w:r>
        <w:rPr>
          <w:rFonts w:ascii="Calibri" w:hAnsi="Calibri" w:cs="Calibri"/>
        </w:rPr>
        <w:t>tt</w:t>
      </w:r>
      <w:r w:rsidRPr="009449D6">
        <w:rPr>
          <w:rFonts w:ascii="Calibri" w:hAnsi="Calibri" w:cs="Calibri"/>
        </w:rPr>
        <w:t xml:space="preserve"> resonemang kring detta i </w:t>
      </w:r>
      <w:proofErr w:type="spellStart"/>
      <w:r>
        <w:rPr>
          <w:rFonts w:ascii="Calibri" w:hAnsi="Calibri" w:cs="Calibri"/>
        </w:rPr>
        <w:t>P</w:t>
      </w:r>
      <w:r w:rsidRPr="009449D6">
        <w:rPr>
          <w:rFonts w:ascii="Calibri" w:hAnsi="Calibri" w:cs="Calibri"/>
        </w:rPr>
        <w:t>adlet</w:t>
      </w:r>
      <w:proofErr w:type="spellEnd"/>
      <w:r w:rsidRPr="009449D6">
        <w:rPr>
          <w:rFonts w:ascii="Calibri" w:hAnsi="Calibri" w:cs="Calibri"/>
        </w:rPr>
        <w:t>.</w:t>
      </w:r>
    </w:p>
    <w:p w14:paraId="3196D11F" w14:textId="4AA73FD2" w:rsidR="009449D6" w:rsidRPr="00172B0E" w:rsidRDefault="009449D6" w:rsidP="009449D6">
      <w:pPr>
        <w:pStyle w:val="Liststycke"/>
        <w:numPr>
          <w:ilvl w:val="1"/>
          <w:numId w:val="1"/>
        </w:numPr>
        <w:spacing w:before="100" w:beforeAutospacing="1" w:after="100" w:afterAutospacing="1"/>
        <w:rPr>
          <w:rFonts w:ascii="Calibri" w:hAnsi="Calibri" w:cs="Calibri"/>
        </w:rPr>
      </w:pPr>
      <w:r>
        <w:t xml:space="preserve">Språksvaga elever </w:t>
      </w:r>
      <w:r>
        <w:t>kan</w:t>
      </w:r>
      <w:r>
        <w:t xml:space="preserve"> behöva </w:t>
      </w:r>
      <w:r>
        <w:t xml:space="preserve">en </w:t>
      </w:r>
      <w:r>
        <w:t>begreppslista. Bra ord att använda: Bas, höjd, area, triangel, rektangel, formel mm</w:t>
      </w:r>
      <w:r>
        <w:t/>
      </w:r>
    </w:p>
    <w:p w14:paraId="742F1B4B" w14:textId="77777777" w:rsidR="004138C6" w:rsidRDefault="004138C6" w:rsidP="004138C6">
      <w:pPr>
        <w:pStyle w:val="Liststycke"/>
        <w:numPr>
          <w:ilvl w:val="0"/>
          <w:numId w:val="1"/>
        </w:numPr>
        <w:spacing w:before="100" w:beforeAutospacing="1" w:after="100" w:afterAutospacing="1"/>
        <w:rPr>
          <w:rFonts w:ascii="Calibri" w:hAnsi="Calibri" w:cs="Calibri"/>
        </w:rPr>
      </w:pPr>
      <w:r>
        <w:rPr>
          <w:rFonts w:ascii="Calibri" w:hAnsi="Calibri" w:cs="Calibri"/>
        </w:rPr>
        <w:t>När tillräckligt många hunnit skriva inlägg om triangel 1 pausas arbetet för helklassdiskussion innan hela klassen går vidare med triangel 2.</w:t>
      </w:r>
    </w:p>
    <w:p w14:paraId="4E36F153" w14:textId="77777777" w:rsidR="004138C6" w:rsidRDefault="004138C6" w:rsidP="004138C6">
      <w:pPr>
        <w:pStyle w:val="Liststycke"/>
        <w:numPr>
          <w:ilvl w:val="1"/>
          <w:numId w:val="1"/>
        </w:numPr>
        <w:spacing w:before="100" w:beforeAutospacing="1" w:after="100" w:afterAutospacing="1"/>
        <w:rPr>
          <w:rFonts w:ascii="Calibri" w:hAnsi="Calibri" w:cs="Calibri"/>
        </w:rPr>
      </w:pPr>
      <w:r>
        <w:rPr>
          <w:rFonts w:ascii="Calibri" w:hAnsi="Calibri" w:cs="Calibri"/>
        </w:rPr>
        <w:t>Var noggrann och be eleverna att koppla ihop sina resonemang med figuren, särskilt vad det är i figuren som gör att de till exempel kan säga att höjden i den nya figuren är hälften så lång som basen i föregående.</w:t>
      </w:r>
    </w:p>
    <w:p w14:paraId="2CD4D857" w14:textId="77777777" w:rsidR="004138C6" w:rsidRDefault="004138C6" w:rsidP="004138C6">
      <w:pPr>
        <w:pStyle w:val="Liststycke"/>
        <w:numPr>
          <w:ilvl w:val="0"/>
          <w:numId w:val="1"/>
        </w:numPr>
        <w:spacing w:before="100" w:beforeAutospacing="1" w:after="100" w:afterAutospacing="1"/>
        <w:rPr>
          <w:rFonts w:ascii="Calibri" w:hAnsi="Calibri" w:cs="Calibri"/>
        </w:rPr>
      </w:pPr>
      <w:r>
        <w:rPr>
          <w:rFonts w:ascii="Calibri" w:hAnsi="Calibri" w:cs="Calibri"/>
        </w:rPr>
        <w:t>Arbeta på samma sätt med triangel 2 och 3</w:t>
      </w:r>
    </w:p>
    <w:p w14:paraId="257847CE" w14:textId="77777777" w:rsidR="00374F84" w:rsidRPr="00374F84" w:rsidRDefault="00374F84" w:rsidP="00374F84"/>
    <w:p w14:paraId="0B6CD7B8" w14:textId="462208FB" w:rsidR="006A7C27" w:rsidRDefault="006A7C27" w:rsidP="006A7C27">
      <w:pPr>
        <w:pStyle w:val="Rubrik2"/>
      </w:pPr>
      <w:r>
        <w:t>Aktivitet</w:t>
      </w:r>
    </w:p>
    <w:p w14:paraId="1CABA7BC" w14:textId="77777777" w:rsidR="002C46D9" w:rsidRPr="00CF36CD" w:rsidRDefault="579025EC" w:rsidP="579025EC">
      <w:pPr>
        <w:spacing w:before="100" w:beforeAutospacing="1" w:after="100" w:afterAutospacing="1"/>
        <w:rPr>
          <w:rFonts w:ascii="Calibri" w:hAnsi="Calibri" w:cs="Calibri"/>
        </w:rPr>
      </w:pPr>
      <w:r w:rsidRPr="579025EC">
        <w:rPr>
          <w:rFonts w:ascii="Calibri" w:hAnsi="Calibri" w:cs="Calibri"/>
        </w:rPr>
        <w:t xml:space="preserve">Beskriv hur </w:t>
      </w:r>
      <w:proofErr w:type="spellStart"/>
      <w:r w:rsidRPr="579025EC">
        <w:rPr>
          <w:rFonts w:ascii="Calibri" w:hAnsi="Calibri" w:cs="Calibri"/>
        </w:rPr>
        <w:t>GeoGebra</w:t>
      </w:r>
      <w:proofErr w:type="spellEnd"/>
      <w:r w:rsidRPr="579025EC">
        <w:rPr>
          <w:rFonts w:ascii="Calibri" w:hAnsi="Calibri" w:cs="Calibri"/>
        </w:rPr>
        <w:t>-applikationen kan hjälpa dig om du skulle förklara formeln för triangelns area för en kamrat?</w:t>
      </w:r>
    </w:p>
    <w:p w14:paraId="5A39BBE3" w14:textId="77777777" w:rsidR="002C46D9" w:rsidRDefault="002C46D9" w:rsidP="002C46D9">
      <w:pPr>
        <w:rPr>
          <w:b/>
        </w:rPr>
      </w:pPr>
    </w:p>
    <w:p w14:paraId="62408486" w14:textId="77777777" w:rsidR="0023338B" w:rsidRPr="00B0328E" w:rsidRDefault="0023338B" w:rsidP="0023338B">
      <w:pPr>
        <w:rPr>
          <w:i/>
        </w:rPr>
      </w:pPr>
      <w:r w:rsidRPr="00B0328E">
        <w:rPr>
          <w:i/>
        </w:rPr>
        <w:t>Vad?</w:t>
      </w:r>
      <w:r>
        <w:rPr>
          <w:i/>
        </w:rPr>
        <w:t xml:space="preserve"> </w:t>
      </w:r>
      <w:r w:rsidRPr="00B0328E">
        <w:t>(30min)</w:t>
      </w:r>
    </w:p>
    <w:p w14:paraId="364C70D9" w14:textId="683E766E" w:rsidR="00BB5597" w:rsidRDefault="00BB5597" w:rsidP="0023338B">
      <w:r>
        <w:t xml:space="preserve">Eleverna ska utveckla sin förmåga att se geometriska egenskaper </w:t>
      </w:r>
      <w:r w:rsidR="00397E4A">
        <w:t xml:space="preserve">i </w:t>
      </w:r>
      <w:r>
        <w:t xml:space="preserve">och samband mellan två-dimensionella figurer, så som </w:t>
      </w:r>
      <w:r w:rsidR="00397E4A">
        <w:t>sambandet mellan rektangelns och triangelns area.</w:t>
      </w:r>
      <w:r w:rsidR="009449D6">
        <w:t xml:space="preserve"> I tabell 1 visas hur de tre trianglarna skulle kunna kopplas ihop med förklaringar av formeln för triangelns area av en elev.</w:t>
      </w:r>
    </w:p>
    <w:p w14:paraId="41C8F396" w14:textId="77777777" w:rsidR="0023338B" w:rsidRDefault="0023338B" w:rsidP="0023338B"/>
    <w:p w14:paraId="65F9F5DB" w14:textId="52BFA39E" w:rsidR="009449D6" w:rsidRDefault="009449D6" w:rsidP="009449D6">
      <w:pPr>
        <w:pStyle w:val="Beskrivning"/>
        <w:keepNext/>
        <w:ind w:firstLine="1304"/>
      </w:pPr>
      <w:r>
        <w:t xml:space="preserve">Tabell </w:t>
      </w:r>
      <w:fldSimple w:instr=" SEQ Tabell \* ARABIC ">
        <w:r>
          <w:rPr>
            <w:noProof/>
          </w:rPr>
          <w:t>1</w:t>
        </w:r>
      </w:fldSimple>
      <w:r>
        <w:t xml:space="preserve"> Tre olika sätt att tänka om formeln för arena för en triangel</w:t>
      </w:r>
    </w:p>
    <w:tbl>
      <w:tblPr>
        <w:tblStyle w:val="Tabellrutnt"/>
        <w:tblW w:w="0" w:type="auto"/>
        <w:jc w:val="center"/>
        <w:tblLook w:val="04A0" w:firstRow="1" w:lastRow="0" w:firstColumn="1" w:lastColumn="0" w:noHBand="0" w:noVBand="1"/>
      </w:tblPr>
      <w:tblGrid>
        <w:gridCol w:w="2081"/>
        <w:gridCol w:w="2081"/>
        <w:gridCol w:w="2081"/>
      </w:tblGrid>
      <w:tr w:rsidR="0023338B" w14:paraId="14394ED8" w14:textId="77777777" w:rsidTr="00C87FF3">
        <w:trPr>
          <w:trHeight w:val="551"/>
          <w:jc w:val="center"/>
        </w:trPr>
        <w:tc>
          <w:tcPr>
            <w:tcW w:w="2081" w:type="dxa"/>
          </w:tcPr>
          <w:p w14:paraId="72B583A7" w14:textId="77777777" w:rsidR="0023338B" w:rsidRDefault="0023338B" w:rsidP="00C87FF3">
            <w:r>
              <w:t>Triangel 1</w:t>
            </w:r>
          </w:p>
        </w:tc>
        <w:tc>
          <w:tcPr>
            <w:tcW w:w="2081" w:type="dxa"/>
          </w:tcPr>
          <w:p w14:paraId="6A64BD08" w14:textId="77777777" w:rsidR="0023338B" w:rsidRDefault="0023338B" w:rsidP="00C87FF3">
            <m:oMathPara>
              <m:oMath>
                <m:r>
                  <w:rPr>
                    <w:rFonts w:ascii="Cambria Math" w:hAnsi="Cambria Math"/>
                  </w:rPr>
                  <m:t>A=</m:t>
                </m:r>
                <m:f>
                  <m:fPr>
                    <m:ctrlPr>
                      <w:rPr>
                        <w:rFonts w:ascii="Cambria Math" w:hAnsi="Cambria Math"/>
                        <w:i/>
                      </w:rPr>
                    </m:ctrlPr>
                  </m:fPr>
                  <m:num>
                    <m:r>
                      <w:rPr>
                        <w:rFonts w:ascii="Cambria Math" w:hAnsi="Cambria Math"/>
                      </w:rPr>
                      <m:t>b</m:t>
                    </m:r>
                  </m:num>
                  <m:den>
                    <m:r>
                      <w:rPr>
                        <w:rFonts w:ascii="Cambria Math" w:hAnsi="Cambria Math"/>
                      </w:rPr>
                      <m:t>2</m:t>
                    </m:r>
                  </m:den>
                </m:f>
                <m:r>
                  <w:rPr>
                    <w:rFonts w:ascii="Cambria Math" w:hAnsi="Cambria Math"/>
                  </w:rPr>
                  <m:t>∙h</m:t>
                </m:r>
              </m:oMath>
            </m:oMathPara>
          </w:p>
        </w:tc>
        <w:tc>
          <w:tcPr>
            <w:tcW w:w="2081" w:type="dxa"/>
          </w:tcPr>
          <w:p w14:paraId="4C4C6408" w14:textId="77777777" w:rsidR="0023338B" w:rsidRDefault="0023338B" w:rsidP="00C87FF3">
            <w:r>
              <w:t>”halva basen”</w:t>
            </w:r>
          </w:p>
        </w:tc>
      </w:tr>
      <w:tr w:rsidR="0023338B" w14:paraId="58E34D6A" w14:textId="77777777" w:rsidTr="00C87FF3">
        <w:trPr>
          <w:trHeight w:val="544"/>
          <w:jc w:val="center"/>
        </w:trPr>
        <w:tc>
          <w:tcPr>
            <w:tcW w:w="2081" w:type="dxa"/>
          </w:tcPr>
          <w:p w14:paraId="76E32ACA" w14:textId="77777777" w:rsidR="0023338B" w:rsidRDefault="0023338B" w:rsidP="00C87FF3">
            <w:r>
              <w:t>Triangel 2</w:t>
            </w:r>
          </w:p>
        </w:tc>
        <w:tc>
          <w:tcPr>
            <w:tcW w:w="2081" w:type="dxa"/>
          </w:tcPr>
          <w:p w14:paraId="12E35363" w14:textId="77777777" w:rsidR="0023338B" w:rsidRDefault="0023338B" w:rsidP="00C87FF3">
            <m:oMathPara>
              <m:oMath>
                <m:r>
                  <w:rPr>
                    <w:rFonts w:ascii="Cambria Math" w:hAnsi="Cambria Math"/>
                  </w:rPr>
                  <m:t>A=b∙</m:t>
                </m:r>
                <m:f>
                  <m:fPr>
                    <m:ctrlPr>
                      <w:rPr>
                        <w:rFonts w:ascii="Cambria Math" w:hAnsi="Cambria Math"/>
                        <w:i/>
                      </w:rPr>
                    </m:ctrlPr>
                  </m:fPr>
                  <m:num>
                    <m:r>
                      <w:rPr>
                        <w:rFonts w:ascii="Cambria Math" w:hAnsi="Cambria Math"/>
                      </w:rPr>
                      <m:t>h</m:t>
                    </m:r>
                  </m:num>
                  <m:den>
                    <m:r>
                      <w:rPr>
                        <w:rFonts w:ascii="Cambria Math" w:hAnsi="Cambria Math"/>
                      </w:rPr>
                      <m:t>2</m:t>
                    </m:r>
                  </m:den>
                </m:f>
              </m:oMath>
            </m:oMathPara>
          </w:p>
        </w:tc>
        <w:tc>
          <w:tcPr>
            <w:tcW w:w="2081" w:type="dxa"/>
          </w:tcPr>
          <w:p w14:paraId="7CBA2611" w14:textId="77777777" w:rsidR="0023338B" w:rsidRDefault="0023338B" w:rsidP="00C87FF3">
            <w:r>
              <w:t>”halva höjden”</w:t>
            </w:r>
          </w:p>
        </w:tc>
      </w:tr>
      <w:tr w:rsidR="0023338B" w14:paraId="07C22993" w14:textId="77777777" w:rsidTr="00C87FF3">
        <w:trPr>
          <w:trHeight w:val="544"/>
          <w:jc w:val="center"/>
        </w:trPr>
        <w:tc>
          <w:tcPr>
            <w:tcW w:w="2081" w:type="dxa"/>
          </w:tcPr>
          <w:p w14:paraId="39BA0958" w14:textId="77777777" w:rsidR="0023338B" w:rsidRDefault="0023338B" w:rsidP="00C87FF3">
            <w:r>
              <w:t>Triangel 3</w:t>
            </w:r>
          </w:p>
        </w:tc>
        <w:tc>
          <w:tcPr>
            <w:tcW w:w="2081" w:type="dxa"/>
          </w:tcPr>
          <w:p w14:paraId="63B1368C" w14:textId="77777777" w:rsidR="0023338B" w:rsidRDefault="0023338B" w:rsidP="00C87FF3">
            <m:oMathPara>
              <m:oMath>
                <m:r>
                  <w:rPr>
                    <w:rFonts w:ascii="Cambria Math" w:hAnsi="Cambria Math"/>
                  </w:rPr>
                  <m:t>A=</m:t>
                </m:r>
                <m:f>
                  <m:fPr>
                    <m:ctrlPr>
                      <w:rPr>
                        <w:rFonts w:ascii="Cambria Math" w:hAnsi="Cambria Math"/>
                        <w:i/>
                      </w:rPr>
                    </m:ctrlPr>
                  </m:fPr>
                  <m:num>
                    <m:r>
                      <w:rPr>
                        <w:rFonts w:ascii="Cambria Math" w:hAnsi="Cambria Math"/>
                      </w:rPr>
                      <m:t>b∙h</m:t>
                    </m:r>
                  </m:num>
                  <m:den>
                    <m:r>
                      <w:rPr>
                        <w:rFonts w:ascii="Cambria Math" w:hAnsi="Cambria Math"/>
                      </w:rPr>
                      <m:t>2</m:t>
                    </m:r>
                  </m:den>
                </m:f>
              </m:oMath>
            </m:oMathPara>
          </w:p>
        </w:tc>
        <w:tc>
          <w:tcPr>
            <w:tcW w:w="2081" w:type="dxa"/>
          </w:tcPr>
          <w:p w14:paraId="5A2E7504" w14:textId="77777777" w:rsidR="0023338B" w:rsidRDefault="0023338B" w:rsidP="00C87FF3">
            <w:r>
              <w:t>”halva rektangeln”</w:t>
            </w:r>
          </w:p>
        </w:tc>
      </w:tr>
    </w:tbl>
    <w:p w14:paraId="72A3D3EC" w14:textId="77777777" w:rsidR="0023338B" w:rsidRDefault="0023338B" w:rsidP="0023338B"/>
    <w:p w14:paraId="0D0B940D" w14:textId="77777777" w:rsidR="0023338B" w:rsidRDefault="0023338B" w:rsidP="0023338B"/>
    <w:p w14:paraId="433EFDBA" w14:textId="77777777" w:rsidR="0023338B" w:rsidRDefault="0023338B" w:rsidP="0023338B">
      <w:pPr>
        <w:rPr>
          <w:i/>
        </w:rPr>
      </w:pPr>
      <w:r w:rsidRPr="00B0328E">
        <w:rPr>
          <w:i/>
        </w:rPr>
        <w:t>Hur?</w:t>
      </w:r>
    </w:p>
    <w:p w14:paraId="3003C7FE" w14:textId="0991F363" w:rsidR="00EB077A" w:rsidRDefault="579025EC" w:rsidP="0023338B">
      <w:r>
        <w:t xml:space="preserve">Eleverna arbetar med att utforska triangel 1, och 3 och allteftersom skriver ner sina upptäckter i form av matematiska resonemang, som diskuteras i helklass. </w:t>
      </w:r>
    </w:p>
    <w:p w14:paraId="0E27B00A" w14:textId="77777777" w:rsidR="00EB077A" w:rsidRDefault="00EB077A" w:rsidP="0023338B"/>
    <w:p w14:paraId="541ECF7C" w14:textId="77777777" w:rsidR="00EB077A" w:rsidRDefault="00EB077A" w:rsidP="0023338B">
      <w:proofErr w:type="spellStart"/>
      <w:r>
        <w:t>GeoGebra</w:t>
      </w:r>
      <w:proofErr w:type="spellEnd"/>
      <w:r>
        <w:t xml:space="preserve">-applikationerna erbjuder möjligheter att öva på att se geometriska egenskaper i och samband mellan två-dimensionella figurer genom att manipulera och omgruppera de geometriska figurerna. </w:t>
      </w:r>
      <w:proofErr w:type="spellStart"/>
      <w:r>
        <w:t>Padleten</w:t>
      </w:r>
      <w:proofErr w:type="spellEnd"/>
      <w:r>
        <w:t xml:space="preserve"> utmanar elevernas diskursiva förståelse genom att de tvingas sätta ord på vad de upptäcker, vilket både kan hjälpa andra elever att se samma saker och öppna upp för andra elever att ifrågasätta resonemang.</w:t>
      </w:r>
    </w:p>
    <w:p w14:paraId="60061E4C" w14:textId="77777777" w:rsidR="00EB077A" w:rsidRDefault="00EB077A" w:rsidP="0023338B"/>
    <w:p w14:paraId="507CD57F" w14:textId="21F83FF5" w:rsidR="0023338B" w:rsidRDefault="579025EC" w:rsidP="0023338B">
      <w:r>
        <w:lastRenderedPageBreak/>
        <w:t>Tabell</w:t>
      </w:r>
      <w:r w:rsidR="009449D6">
        <w:t xml:space="preserve"> 1</w:t>
      </w:r>
      <w:r>
        <w:t xml:space="preserve"> ovan är en sammanfattning av slutsatserna som skulle kunna dras utifrån elevernas utforskande. Om inte eleverna har närmat sig motsvarande resonemang själva kan man använda tabellen som ett sätt att knyta ihop och avsluta lektionen. </w:t>
      </w:r>
    </w:p>
    <w:p w14:paraId="44EAFD9C" w14:textId="77777777" w:rsidR="0023338B" w:rsidRDefault="0023338B" w:rsidP="002C46D9">
      <w:pPr>
        <w:rPr>
          <w:i/>
        </w:rPr>
      </w:pPr>
    </w:p>
    <w:p w14:paraId="753880DD" w14:textId="77777777" w:rsidR="002C46D9" w:rsidRPr="00B0328E" w:rsidRDefault="002C46D9" w:rsidP="002C46D9">
      <w:pPr>
        <w:rPr>
          <w:i/>
        </w:rPr>
      </w:pPr>
      <w:r w:rsidRPr="00B0328E">
        <w:rPr>
          <w:i/>
        </w:rPr>
        <w:t>Varför?</w:t>
      </w:r>
    </w:p>
    <w:p w14:paraId="6F9B84FA" w14:textId="77777777" w:rsidR="003B5152" w:rsidRDefault="579025EC" w:rsidP="003B5152">
      <w:r>
        <w:t>Forskning visar att elever behöver kunna förstå geometriska figurer på olika nivåer för att lösa geometriska problem. Framförallt behöver eleverna nå en operativ och diskursiv förståelse för figurerna, medan det har visat sig att de ofta fastnar vid en perceptuell förståelse. Se lärarguiden för mer om perceptuell, operativ och diskursiv förståelse.</w:t>
      </w:r>
    </w:p>
    <w:p w14:paraId="4B94D5A5" w14:textId="77777777" w:rsidR="00397E4A" w:rsidRDefault="00397E4A" w:rsidP="003B5152"/>
    <w:p w14:paraId="1FDB9A00" w14:textId="38834AFA" w:rsidR="00172B0E" w:rsidRDefault="00172B0E" w:rsidP="00172B0E">
      <w:pPr>
        <w:pStyle w:val="Rubrik2"/>
      </w:pPr>
      <w:r>
        <w:t>Avslutning</w:t>
      </w:r>
    </w:p>
    <w:p w14:paraId="3DEEC669" w14:textId="68ACE52C" w:rsidR="00A377B1" w:rsidRDefault="003D16B4">
      <w:r>
        <w:t xml:space="preserve">Prata </w:t>
      </w:r>
      <w:r w:rsidR="00EE0E10">
        <w:t xml:space="preserve">igen </w:t>
      </w:r>
      <w:r>
        <w:t xml:space="preserve">om vikten att </w:t>
      </w:r>
      <w:r w:rsidR="00AE064F">
        <w:t>”tänka som en matematiker” med eleverna och gör paralleller till lektionens uppgifter. En sak som gör matematiker framgångsrika vid problemlösning är förmågan att bryta ner figurer och se möjligheter utöver de</w:t>
      </w:r>
      <w:r w:rsidR="00B175BD">
        <w:t>t som framgår vid en första kort anblick. Det kan till exempel handla om egenskaper hos figuren, eller möjligheten att lägga till hjälplinjer för att stödja sitt resonemang. För mer inspiration, se lärarguiden.</w:t>
      </w:r>
    </w:p>
    <w:sectPr w:rsidR="00A377B1" w:rsidSect="00876BD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1F36C" w14:textId="77777777" w:rsidR="00AC2FF5" w:rsidRDefault="00AC2FF5" w:rsidP="00284739">
      <w:r>
        <w:separator/>
      </w:r>
    </w:p>
  </w:endnote>
  <w:endnote w:type="continuationSeparator" w:id="0">
    <w:p w14:paraId="44E6FCD8" w14:textId="77777777" w:rsidR="00AC2FF5" w:rsidRDefault="00AC2FF5" w:rsidP="00284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D8BBA" w14:textId="77777777" w:rsidR="00AC2FF5" w:rsidRDefault="00AC2FF5" w:rsidP="00284739">
      <w:r>
        <w:separator/>
      </w:r>
    </w:p>
  </w:footnote>
  <w:footnote w:type="continuationSeparator" w:id="0">
    <w:p w14:paraId="426FBF5E" w14:textId="77777777" w:rsidR="00AC2FF5" w:rsidRDefault="00AC2FF5" w:rsidP="00284739">
      <w:r>
        <w:continuationSeparator/>
      </w:r>
    </w:p>
  </w:footnote>
  <w:footnote w:id="1">
    <w:p w14:paraId="0EBB5C40" w14:textId="52CF52EA" w:rsidR="00284739" w:rsidRDefault="00284739">
      <w:pPr>
        <w:pStyle w:val="Fotnotstext"/>
      </w:pPr>
      <w:r>
        <w:rPr>
          <w:rStyle w:val="Fotnotsreferens"/>
        </w:rPr>
        <w:footnoteRef/>
      </w:r>
      <w:r>
        <w:t xml:space="preserve"> Länk till hur man skapar och använder en </w:t>
      </w:r>
      <w:proofErr w:type="spellStart"/>
      <w:r>
        <w:t>Padlet</w:t>
      </w:r>
      <w:proofErr w:type="spellEnd"/>
      <w:r>
        <w:t xml:space="preserve"> </w:t>
      </w:r>
      <w:hyperlink r:id="rId1" w:history="1">
        <w:r w:rsidRPr="00C80314">
          <w:rPr>
            <w:rStyle w:val="Hyperlnk"/>
          </w:rPr>
          <w:t>http://digimath.se/padlet/</w:t>
        </w:r>
      </w:hyperlink>
      <w:r>
        <w:t xml:space="preserve"> </w:t>
      </w:r>
      <w:r w:rsidR="00AE0514">
        <w:t xml:space="preserve">. Om du </w:t>
      </w:r>
      <w:r w:rsidR="0012623E">
        <w:t>misstänker att eleverna kommer ta tillfället i akt att publicera saker som t.ex. är kränkande för andra elever, välj då alternativet ”</w:t>
      </w:r>
      <w:proofErr w:type="spellStart"/>
      <w:r w:rsidR="0012623E">
        <w:t>Require</w:t>
      </w:r>
      <w:proofErr w:type="spellEnd"/>
      <w:r w:rsidR="0012623E">
        <w:t xml:space="preserve"> </w:t>
      </w:r>
      <w:proofErr w:type="spellStart"/>
      <w:r w:rsidR="0012623E">
        <w:t>approval</w:t>
      </w:r>
      <w:proofErr w:type="spellEnd"/>
      <w:r w:rsidR="0012623E">
        <w:t xml:space="preserve">” under </w:t>
      </w:r>
      <w:proofErr w:type="spellStart"/>
      <w:r w:rsidR="0012623E">
        <w:t>Content</w:t>
      </w:r>
      <w:proofErr w:type="spellEnd"/>
      <w:r w:rsidR="0012623E">
        <w:t xml:space="preserve"> </w:t>
      </w:r>
      <w:proofErr w:type="spellStart"/>
      <w:r w:rsidR="0012623E">
        <w:t>filtering</w:t>
      </w:r>
      <w:proofErr w:type="spellEnd"/>
      <w:r w:rsidR="0012623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2179DF"/>
    <w:multiLevelType w:val="hybridMultilevel"/>
    <w:tmpl w:val="31863E7E"/>
    <w:lvl w:ilvl="0" w:tplc="041D000F">
      <w:start w:val="1"/>
      <w:numFmt w:val="decimal"/>
      <w:lvlText w:val="%1."/>
      <w:lvlJc w:val="left"/>
      <w:pPr>
        <w:ind w:left="720" w:hanging="360"/>
      </w:pPr>
      <w:rPr>
        <w:rFonts w:hint="default"/>
      </w:rPr>
    </w:lvl>
    <w:lvl w:ilvl="1" w:tplc="041D000B">
      <w:start w:val="1"/>
      <w:numFmt w:val="bullet"/>
      <w:lvlText w:val=""/>
      <w:lvlJc w:val="left"/>
      <w:pPr>
        <w:ind w:left="1440" w:hanging="360"/>
      </w:pPr>
      <w:rPr>
        <w:rFonts w:ascii="Wingdings" w:hAnsi="Wingdings" w:hint="default"/>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90E74A1"/>
    <w:multiLevelType w:val="multilevel"/>
    <w:tmpl w:val="767298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983443"/>
    <w:multiLevelType w:val="hybridMultilevel"/>
    <w:tmpl w:val="461026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B5F753C"/>
    <w:multiLevelType w:val="hybridMultilevel"/>
    <w:tmpl w:val="7672981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6D9"/>
    <w:rsid w:val="0012623E"/>
    <w:rsid w:val="00172B0E"/>
    <w:rsid w:val="0018694B"/>
    <w:rsid w:val="00204DE2"/>
    <w:rsid w:val="00214BB6"/>
    <w:rsid w:val="0023338B"/>
    <w:rsid w:val="00284739"/>
    <w:rsid w:val="002C46D9"/>
    <w:rsid w:val="00374F84"/>
    <w:rsid w:val="00397E4A"/>
    <w:rsid w:val="003B5152"/>
    <w:rsid w:val="003D16B4"/>
    <w:rsid w:val="004138C6"/>
    <w:rsid w:val="0049269C"/>
    <w:rsid w:val="004D75D3"/>
    <w:rsid w:val="0052082B"/>
    <w:rsid w:val="00545473"/>
    <w:rsid w:val="005F46AF"/>
    <w:rsid w:val="00661898"/>
    <w:rsid w:val="006A7C27"/>
    <w:rsid w:val="0076364B"/>
    <w:rsid w:val="00767B51"/>
    <w:rsid w:val="00773668"/>
    <w:rsid w:val="007F7EC4"/>
    <w:rsid w:val="0081482C"/>
    <w:rsid w:val="00823763"/>
    <w:rsid w:val="00830355"/>
    <w:rsid w:val="008761FA"/>
    <w:rsid w:val="00876BD6"/>
    <w:rsid w:val="008B132C"/>
    <w:rsid w:val="008D2122"/>
    <w:rsid w:val="009449D6"/>
    <w:rsid w:val="0095501F"/>
    <w:rsid w:val="009A4006"/>
    <w:rsid w:val="00A34DE3"/>
    <w:rsid w:val="00A377B1"/>
    <w:rsid w:val="00A446CE"/>
    <w:rsid w:val="00AC2FF5"/>
    <w:rsid w:val="00AE0514"/>
    <w:rsid w:val="00AE064F"/>
    <w:rsid w:val="00B175BD"/>
    <w:rsid w:val="00BA779C"/>
    <w:rsid w:val="00BB5597"/>
    <w:rsid w:val="00CF77C7"/>
    <w:rsid w:val="00DD1EEB"/>
    <w:rsid w:val="00EB077A"/>
    <w:rsid w:val="00EE0E10"/>
    <w:rsid w:val="00F10C8A"/>
    <w:rsid w:val="00FB6684"/>
    <w:rsid w:val="579025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3D81B"/>
  <w15:chartTrackingRefBased/>
  <w15:docId w15:val="{C8AB33DE-1B9C-E542-A3C7-604228B4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6D9"/>
    <w:rPr>
      <w:rFonts w:ascii="Times New Roman" w:eastAsia="Times New Roman" w:hAnsi="Times New Roman" w:cs="Times New Roman"/>
      <w:lang w:eastAsia="sv-SE"/>
    </w:rPr>
  </w:style>
  <w:style w:type="paragraph" w:styleId="Rubrik1">
    <w:name w:val="heading 1"/>
    <w:basedOn w:val="Normal"/>
    <w:next w:val="Normal"/>
    <w:link w:val="Rubrik1Char"/>
    <w:uiPriority w:val="9"/>
    <w:qFormat/>
    <w:rsid w:val="002C46D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2C46D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C46D9"/>
    <w:pPr>
      <w:ind w:left="720"/>
      <w:contextualSpacing/>
    </w:pPr>
  </w:style>
  <w:style w:type="character" w:customStyle="1" w:styleId="Rubrik1Char">
    <w:name w:val="Rubrik 1 Char"/>
    <w:basedOn w:val="Standardstycketeckensnitt"/>
    <w:link w:val="Rubrik1"/>
    <w:uiPriority w:val="9"/>
    <w:rsid w:val="002C46D9"/>
    <w:rPr>
      <w:rFonts w:asciiTheme="majorHAnsi" w:eastAsiaTheme="majorEastAsia" w:hAnsiTheme="majorHAnsi" w:cstheme="majorBidi"/>
      <w:color w:val="2F5496" w:themeColor="accent1" w:themeShade="BF"/>
      <w:sz w:val="32"/>
      <w:szCs w:val="32"/>
      <w:lang w:eastAsia="sv-SE"/>
    </w:rPr>
  </w:style>
  <w:style w:type="character" w:customStyle="1" w:styleId="Rubrik2Char">
    <w:name w:val="Rubrik 2 Char"/>
    <w:basedOn w:val="Standardstycketeckensnitt"/>
    <w:link w:val="Rubrik2"/>
    <w:uiPriority w:val="9"/>
    <w:rsid w:val="002C46D9"/>
    <w:rPr>
      <w:rFonts w:asciiTheme="majorHAnsi" w:eastAsiaTheme="majorEastAsia" w:hAnsiTheme="majorHAnsi" w:cstheme="majorBidi"/>
      <w:color w:val="2F5496" w:themeColor="accent1" w:themeShade="BF"/>
      <w:sz w:val="26"/>
      <w:szCs w:val="26"/>
      <w:lang w:eastAsia="sv-SE"/>
    </w:rPr>
  </w:style>
  <w:style w:type="character" w:styleId="Hyperlnk">
    <w:name w:val="Hyperlink"/>
    <w:basedOn w:val="Standardstycketeckensnitt"/>
    <w:uiPriority w:val="99"/>
    <w:unhideWhenUsed/>
    <w:rsid w:val="002C46D9"/>
    <w:rPr>
      <w:color w:val="0563C1" w:themeColor="hyperlink"/>
      <w:u w:val="single"/>
    </w:rPr>
  </w:style>
  <w:style w:type="table" w:styleId="Tabellrutnt">
    <w:name w:val="Table Grid"/>
    <w:basedOn w:val="Normaltabell"/>
    <w:uiPriority w:val="39"/>
    <w:rsid w:val="00233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A446CE"/>
    <w:rPr>
      <w:color w:val="605E5C"/>
      <w:shd w:val="clear" w:color="auto" w:fill="E1DFDD"/>
    </w:rPr>
  </w:style>
  <w:style w:type="character" w:styleId="AnvndHyperlnk">
    <w:name w:val="FollowedHyperlink"/>
    <w:basedOn w:val="Standardstycketeckensnitt"/>
    <w:uiPriority w:val="99"/>
    <w:semiHidden/>
    <w:unhideWhenUsed/>
    <w:rsid w:val="005F46AF"/>
    <w:rPr>
      <w:color w:val="954F72" w:themeColor="followedHyperlink"/>
      <w:u w:val="single"/>
    </w:rPr>
  </w:style>
  <w:style w:type="paragraph" w:styleId="Ballongtext">
    <w:name w:val="Balloon Text"/>
    <w:basedOn w:val="Normal"/>
    <w:link w:val="BallongtextChar"/>
    <w:uiPriority w:val="99"/>
    <w:semiHidden/>
    <w:unhideWhenUsed/>
    <w:rsid w:val="00CF77C7"/>
    <w:rPr>
      <w:sz w:val="18"/>
      <w:szCs w:val="18"/>
    </w:rPr>
  </w:style>
  <w:style w:type="character" w:customStyle="1" w:styleId="BallongtextChar">
    <w:name w:val="Ballongtext Char"/>
    <w:basedOn w:val="Standardstycketeckensnitt"/>
    <w:link w:val="Ballongtext"/>
    <w:uiPriority w:val="99"/>
    <w:semiHidden/>
    <w:rsid w:val="00CF77C7"/>
    <w:rPr>
      <w:rFonts w:ascii="Times New Roman" w:eastAsia="Times New Roman" w:hAnsi="Times New Roman" w:cs="Times New Roman"/>
      <w:sz w:val="18"/>
      <w:szCs w:val="18"/>
      <w:lang w:eastAsia="sv-SE"/>
    </w:r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basedOn w:val="Standardstycketeckensnitt"/>
    <w:link w:val="Kommentarer"/>
    <w:uiPriority w:val="99"/>
    <w:semiHidden/>
    <w:rPr>
      <w:rFonts w:ascii="Times New Roman" w:eastAsia="Times New Roman" w:hAnsi="Times New Roman" w:cs="Times New Roman"/>
      <w:sz w:val="20"/>
      <w:szCs w:val="20"/>
      <w:lang w:eastAsia="sv-SE"/>
    </w:rPr>
  </w:style>
  <w:style w:type="character" w:styleId="Kommentarsreferens">
    <w:name w:val="annotation reference"/>
    <w:basedOn w:val="Standardstycketeckensnitt"/>
    <w:uiPriority w:val="99"/>
    <w:semiHidden/>
    <w:unhideWhenUsed/>
    <w:rPr>
      <w:sz w:val="16"/>
      <w:szCs w:val="16"/>
    </w:rPr>
  </w:style>
  <w:style w:type="paragraph" w:styleId="Fotnotstext">
    <w:name w:val="footnote text"/>
    <w:basedOn w:val="Normal"/>
    <w:link w:val="FotnotstextChar"/>
    <w:uiPriority w:val="99"/>
    <w:semiHidden/>
    <w:unhideWhenUsed/>
    <w:rsid w:val="00284739"/>
    <w:rPr>
      <w:sz w:val="20"/>
      <w:szCs w:val="20"/>
    </w:rPr>
  </w:style>
  <w:style w:type="character" w:customStyle="1" w:styleId="FotnotstextChar">
    <w:name w:val="Fotnotstext Char"/>
    <w:basedOn w:val="Standardstycketeckensnitt"/>
    <w:link w:val="Fotnotstext"/>
    <w:uiPriority w:val="99"/>
    <w:semiHidden/>
    <w:rsid w:val="00284739"/>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284739"/>
    <w:rPr>
      <w:vertAlign w:val="superscript"/>
    </w:rPr>
  </w:style>
  <w:style w:type="paragraph" w:styleId="Beskrivning">
    <w:name w:val="caption"/>
    <w:basedOn w:val="Normal"/>
    <w:next w:val="Normal"/>
    <w:uiPriority w:val="35"/>
    <w:unhideWhenUsed/>
    <w:qFormat/>
    <w:rsid w:val="009449D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geogebra.org/m/dxtq7ab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igimath.se/padle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3</Pages>
  <Words>769</Words>
  <Characters>4081</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Eckert</dc:creator>
  <cp:keywords/>
  <dc:description/>
  <cp:lastModifiedBy>Andreas Eckert</cp:lastModifiedBy>
  <cp:revision>13</cp:revision>
  <dcterms:created xsi:type="dcterms:W3CDTF">2020-05-28T04:34:00Z</dcterms:created>
  <dcterms:modified xsi:type="dcterms:W3CDTF">2020-07-22T04:06:00Z</dcterms:modified>
</cp:coreProperties>
</file>